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0340</w:t>
      </w:r>
      <w:r>
        <w:rPr>
          <w:rFonts w:ascii="Times New Roman" w:eastAsia="Times New Roman" w:hAnsi="Times New Roman" w:cs="Times New Roman"/>
          <w:sz w:val="26"/>
          <w:szCs w:val="26"/>
        </w:rPr>
        <w:t>2806/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27 апреля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«Банный дворик» Берсеневой </w:t>
      </w:r>
      <w:r>
        <w:rPr>
          <w:rStyle w:val="cat-User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4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«Банный дворик»</w:t>
      </w:r>
      <w:r>
        <w:rPr>
          <w:rFonts w:ascii="Times New Roman" w:eastAsia="Times New Roman" w:hAnsi="Times New Roman" w:cs="Times New Roman"/>
          <w:sz w:val="26"/>
          <w:szCs w:val="26"/>
        </w:rPr>
        <w:t>, 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пп.5 п.2 и п.6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6"/>
          <w:szCs w:val="26"/>
        </w:rPr>
        <w:t>1.04.1996 №27-ФЗ)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договоре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гражданско-правового характера, чем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6"/>
          <w:szCs w:val="26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п.2.2 ст.11 Федерального закона от 01.04.1996 №27-ФЗ страхователи, к числу которых относятся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индивидуальные предприниматели представляют не позднее 15-го числа календарного месяца, следующего за отчетным периодом, в территориальный отдел Пенсионного фонда РФ сведения, предусмотренные указанным федеральным законом, о каждом работающем (работавшем) у данного страхователя застрахованном лице.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пп.5 п.2 и п.6 ст.11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п.6 ст.11 Федерального закона от 01.04.1996 №27-ФЗ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14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ср</w:t>
      </w:r>
      <w:r>
        <w:rPr>
          <w:rFonts w:ascii="Times New Roman" w:eastAsia="Times New Roman" w:hAnsi="Times New Roman" w:cs="Times New Roman"/>
          <w:sz w:val="26"/>
          <w:szCs w:val="26"/>
        </w:rPr>
        <w:t>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 по форме ЕФС-1, раздел 1, подраздел 1.1. 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26.02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4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подтверждаются исследованными судом: протоколом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акта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>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>, поступившим в ОСФР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4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не</w:t>
      </w:r>
      <w:r>
        <w:rPr>
          <w:rFonts w:ascii="Times New Roman" w:eastAsia="Times New Roman" w:hAnsi="Times New Roman" w:cs="Times New Roman"/>
          <w:sz w:val="26"/>
          <w:szCs w:val="26"/>
        </w:rPr>
        <w:t>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>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4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</w:t>
      </w:r>
      <w:r>
        <w:rPr>
          <w:rFonts w:ascii="Times New Roman" w:eastAsia="Times New Roman" w:hAnsi="Times New Roman" w:cs="Times New Roman"/>
          <w:sz w:val="26"/>
          <w:szCs w:val="26"/>
        </w:rPr>
        <w:t>т по ч.1 ст.</w:t>
      </w:r>
      <w:r>
        <w:rPr>
          <w:rFonts w:ascii="Times New Roman" w:eastAsia="Times New Roman" w:hAnsi="Times New Roman" w:cs="Times New Roman"/>
          <w:sz w:val="26"/>
          <w:szCs w:val="26"/>
        </w:rPr>
        <w:t>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Учитывая, обстоятельства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назначить </w:t>
      </w:r>
      <w:r>
        <w:rPr>
          <w:rStyle w:val="cat-FIOgrp-14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«Банный дворик»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Берсеневу </w:t>
      </w:r>
      <w:r>
        <w:rPr>
          <w:rStyle w:val="cat-UserDefinedgrp-30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8rplc-3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3rplc-37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79711601230060000140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– 79711601230060000140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7970270000000040</w:t>
      </w:r>
      <w:r>
        <w:rPr>
          <w:rFonts w:ascii="Times New Roman" w:eastAsia="Times New Roman" w:hAnsi="Times New Roman" w:cs="Times New Roman"/>
          <w:sz w:val="26"/>
          <w:szCs w:val="26"/>
        </w:rPr>
        <w:t>7363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45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ExternalSystemDefinedgrp-26rplc-10">
    <w:name w:val="cat-ExternalSystemDefined grp-26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FIOgrp-14rplc-30">
    <w:name w:val="cat-FIO grp-14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Sumgrp-18rplc-36">
    <w:name w:val="cat-Sum grp-18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